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341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Правила оплаты услу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 связи посредством WEB-ресурса</w:t>
      </w:r>
    </w:p>
    <w:p w:rsidR="00510DBC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ОО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 w:rsidR="006C5951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СТ Л</w:t>
      </w:r>
      <w:r w:rsidR="00A127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ипецк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10DBC" w:rsidRDefault="00F21341" w:rsidP="00510DBC">
      <w:pPr>
        <w:pStyle w:val="Default"/>
        <w:ind w:firstLine="709"/>
      </w:pPr>
      <w:r>
        <w:rPr>
          <w:sz w:val="23"/>
          <w:szCs w:val="23"/>
        </w:rPr>
        <w:t>Общество с ограниченной ответственностью «</w:t>
      </w:r>
      <w:r w:rsidR="006C5951">
        <w:rPr>
          <w:sz w:val="23"/>
          <w:szCs w:val="23"/>
        </w:rPr>
        <w:t>СТ Л</w:t>
      </w:r>
      <w:r w:rsidR="00A127AC">
        <w:rPr>
          <w:sz w:val="23"/>
          <w:szCs w:val="23"/>
        </w:rPr>
        <w:t>ипецк</w:t>
      </w:r>
      <w:r w:rsidR="00510DBC" w:rsidRPr="00510DBC">
        <w:rPr>
          <w:sz w:val="23"/>
          <w:szCs w:val="23"/>
        </w:rPr>
        <w:t>», именуемое в дальнейшем «Общество», настоящей Публичной офертой (Оферта) предлагает держателям банковских карт заключить Соглашение о предоставлении возможности оплаты услуг связи (оказываемых как Обществом, так и другими операторами связи, оплата за которые принимается Общество на основании соответствующих договоров), посредством перевода средств в пользу Общества с банковских карт без их физического использования (далее «Интернет-</w:t>
      </w:r>
      <w:proofErr w:type="spellStart"/>
      <w:r w:rsidR="00510DBC" w:rsidRPr="00510DBC">
        <w:rPr>
          <w:sz w:val="23"/>
          <w:szCs w:val="23"/>
        </w:rPr>
        <w:t>эквайринг</w:t>
      </w:r>
      <w:proofErr w:type="spellEnd"/>
      <w:r w:rsidR="00510DBC" w:rsidRPr="00510DBC">
        <w:rPr>
          <w:sz w:val="23"/>
          <w:szCs w:val="23"/>
        </w:rPr>
        <w:t>»), присоединившись к настоящей Оферте посредством ее акцепта.</w:t>
      </w:r>
    </w:p>
    <w:p w:rsidR="00510DBC" w:rsidRDefault="00510DBC" w:rsidP="00510DBC">
      <w:pPr>
        <w:pStyle w:val="Default"/>
        <w:ind w:firstLine="709"/>
      </w:pPr>
      <w:r>
        <w:t xml:space="preserve"> </w:t>
      </w:r>
    </w:p>
    <w:p w:rsidR="00510DBC" w:rsidRDefault="00510DBC" w:rsidP="00510DBC">
      <w:pPr>
        <w:pStyle w:val="Default"/>
        <w:spacing w:line="360" w:lineRule="auto"/>
        <w:ind w:firstLine="709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Термины и определения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b/>
          <w:bCs/>
          <w:sz w:val="23"/>
          <w:szCs w:val="23"/>
        </w:rPr>
        <w:t xml:space="preserve">Абонент </w:t>
      </w:r>
      <w:r>
        <w:rPr>
          <w:sz w:val="23"/>
          <w:szCs w:val="23"/>
        </w:rPr>
        <w:t xml:space="preserve">– физическое лицо, заключившее договор с Обществом или с другим оператором связи, оплата за услуги которого принимается Обществом, на оказание услуг связи и имеющий идентификатор абонента в информационных системах Общества.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b/>
          <w:bCs/>
          <w:sz w:val="23"/>
          <w:szCs w:val="23"/>
        </w:rPr>
        <w:t xml:space="preserve">Плательщик </w:t>
      </w:r>
      <w:r>
        <w:rPr>
          <w:sz w:val="23"/>
          <w:szCs w:val="23"/>
        </w:rPr>
        <w:t xml:space="preserve">-владелец Банковской карты (в том числе Абонент), инициирующий передачу через Интернет поручения Банку (через </w:t>
      </w:r>
      <w:proofErr w:type="spellStart"/>
      <w:r>
        <w:rPr>
          <w:sz w:val="23"/>
          <w:szCs w:val="23"/>
        </w:rPr>
        <w:t>БанкЭквайер</w:t>
      </w:r>
      <w:proofErr w:type="spellEnd"/>
      <w:r>
        <w:rPr>
          <w:sz w:val="23"/>
          <w:szCs w:val="23"/>
        </w:rPr>
        <w:t xml:space="preserve">) на перевод денежных средств в оплату Услуг связи </w:t>
      </w:r>
      <w:proofErr w:type="gramStart"/>
      <w:r>
        <w:rPr>
          <w:sz w:val="23"/>
          <w:szCs w:val="23"/>
        </w:rPr>
        <w:t>по своему</w:t>
      </w:r>
      <w:proofErr w:type="gramEnd"/>
      <w:r>
        <w:rPr>
          <w:sz w:val="23"/>
          <w:szCs w:val="23"/>
        </w:rPr>
        <w:t xml:space="preserve"> или указ</w:t>
      </w:r>
      <w:r w:rsidR="008C0C1A">
        <w:rPr>
          <w:sz w:val="23"/>
          <w:szCs w:val="23"/>
        </w:rPr>
        <w:t>анному Идентификатору абонента.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>
        <w:rPr>
          <w:b/>
          <w:bCs/>
          <w:sz w:val="23"/>
          <w:szCs w:val="23"/>
        </w:rPr>
        <w:t xml:space="preserve">Идентификатор абонента </w:t>
      </w:r>
      <w:r>
        <w:rPr>
          <w:sz w:val="23"/>
          <w:szCs w:val="23"/>
        </w:rPr>
        <w:t xml:space="preserve">– уникальные данные позволяющие идентифицировать абонента в информационных системах Общества (логин, лицевой счет, номер контракта и т.п.).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rPr>
          <w:b/>
          <w:bCs/>
          <w:sz w:val="23"/>
          <w:szCs w:val="23"/>
        </w:rPr>
        <w:t xml:space="preserve">Банковская карта </w:t>
      </w:r>
      <w:r>
        <w:rPr>
          <w:sz w:val="23"/>
          <w:szCs w:val="23"/>
        </w:rPr>
        <w:t>– расчетная или кредитная карта международных платежных систем VISA (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Classic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), эмитентом которой является кредитная организация, действующая на основании лицензии выданной ЦБ РФ, являющаяся инструментом безналичных </w:t>
      </w:r>
      <w:proofErr w:type="spellStart"/>
      <w:r>
        <w:rPr>
          <w:sz w:val="23"/>
          <w:szCs w:val="23"/>
        </w:rPr>
        <w:t>расчетов,предназначенная</w:t>
      </w:r>
      <w:proofErr w:type="spellEnd"/>
      <w:r>
        <w:rPr>
          <w:sz w:val="23"/>
          <w:szCs w:val="23"/>
        </w:rPr>
        <w:t xml:space="preserve"> для совершения Плательщикам (клиентами Банка) операций с денежными средствами, находящимися у Банка на банковских счетах, или с денежными средствами, предоставленными Банком в кредит своим клиентам в соответствии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 и Плательщиком, при условии, что такая расчетная или кредитная карта может быть использована Плательщиком для оплаты Услуг связи.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>
        <w:rPr>
          <w:b/>
          <w:bCs/>
          <w:sz w:val="23"/>
          <w:szCs w:val="23"/>
        </w:rPr>
        <w:t xml:space="preserve">Услуги связи: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Услуги связи, оказываемые Обществом на основании имеющихся у Общества лицензий;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· Услуги связи, оказываемые другими операторами связи (включая услуги междугородной и международной телефонной связи), оплата за которые принимается Общество на основании соответствующих договоров с операторами.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1.6. </w:t>
      </w:r>
      <w:r>
        <w:rPr>
          <w:b/>
          <w:bCs/>
          <w:sz w:val="23"/>
          <w:szCs w:val="23"/>
        </w:rPr>
        <w:t xml:space="preserve">«Банк-эмитент» (Банк) – </w:t>
      </w:r>
      <w:r>
        <w:rPr>
          <w:sz w:val="23"/>
          <w:szCs w:val="23"/>
        </w:rPr>
        <w:t xml:space="preserve">юридическое лицо, осуществляющее эмиссию и ведение счетов Плательщика.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r>
        <w:rPr>
          <w:b/>
          <w:bCs/>
          <w:sz w:val="23"/>
          <w:szCs w:val="23"/>
        </w:rPr>
        <w:t>«Банк-</w:t>
      </w:r>
      <w:proofErr w:type="spellStart"/>
      <w:r>
        <w:rPr>
          <w:b/>
          <w:bCs/>
          <w:sz w:val="23"/>
          <w:szCs w:val="23"/>
        </w:rPr>
        <w:t>эквайер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– юридическое лицо -Открытое акционерное общество «Сбербанк», осуществляющее Интернет-</w:t>
      </w:r>
      <w:proofErr w:type="spellStart"/>
      <w:r>
        <w:rPr>
          <w:sz w:val="23"/>
          <w:szCs w:val="23"/>
        </w:rPr>
        <w:t>эквайринг</w:t>
      </w:r>
      <w:proofErr w:type="spellEnd"/>
      <w:r>
        <w:rPr>
          <w:sz w:val="23"/>
          <w:szCs w:val="23"/>
        </w:rPr>
        <w:t xml:space="preserve"> на основании договора с Оператором связи.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1.8. </w:t>
      </w:r>
      <w:r>
        <w:rPr>
          <w:b/>
          <w:bCs/>
          <w:sz w:val="23"/>
          <w:szCs w:val="23"/>
        </w:rPr>
        <w:t xml:space="preserve">«CVC2/CVV2» </w:t>
      </w:r>
      <w:r>
        <w:rPr>
          <w:sz w:val="23"/>
          <w:szCs w:val="23"/>
        </w:rPr>
        <w:t xml:space="preserve">– специальный трехзначный код, нанесенный на обратную сторону Банковской карты.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соглашения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2.1. Общество предоставляет Плательщику возможность через средства портала </w:t>
      </w:r>
      <w:r w:rsidRPr="00510DBC">
        <w:rPr>
          <w:sz w:val="23"/>
          <w:szCs w:val="23"/>
        </w:rPr>
        <w:t>https://my.</w:t>
      </w:r>
      <w:proofErr w:type="spellStart"/>
      <w:r w:rsidR="008C0C1A">
        <w:rPr>
          <w:sz w:val="23"/>
          <w:szCs w:val="23"/>
          <w:lang w:val="en-US"/>
        </w:rPr>
        <w:t>sumtel</w:t>
      </w:r>
      <w:proofErr w:type="spellEnd"/>
      <w:r w:rsidRPr="00510DBC">
        <w:rPr>
          <w:sz w:val="23"/>
          <w:szCs w:val="23"/>
        </w:rPr>
        <w:t>.</w:t>
      </w:r>
      <w:proofErr w:type="spellStart"/>
      <w:r w:rsidRPr="00510DBC">
        <w:rPr>
          <w:sz w:val="23"/>
          <w:szCs w:val="23"/>
        </w:rPr>
        <w:t>ru</w:t>
      </w:r>
      <w:proofErr w:type="spellEnd"/>
      <w:r w:rsidRPr="00510DBC">
        <w:rPr>
          <w:sz w:val="23"/>
          <w:szCs w:val="23"/>
        </w:rPr>
        <w:t>/</w:t>
      </w:r>
      <w:r>
        <w:rPr>
          <w:sz w:val="23"/>
          <w:szCs w:val="23"/>
        </w:rPr>
        <w:t>, давать поручения Банку (через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на оплату Услуг связи с помощью Банковской карты Плательщика.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2.2. Совершение Плательщиком действий, предусмотренных разделом 3 Правил означает безусловное согласие Плательщика с условиями настоящих Правил.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 w:rsidRPr="00CD018D">
        <w:rPr>
          <w:b/>
          <w:bCs/>
          <w:sz w:val="23"/>
          <w:szCs w:val="23"/>
        </w:rPr>
        <w:t>3. Порядок оплаты Услуг связи посредством Интернет-</w:t>
      </w:r>
      <w:proofErr w:type="spellStart"/>
      <w:r w:rsidRPr="00CD018D">
        <w:rPr>
          <w:b/>
          <w:bCs/>
          <w:sz w:val="23"/>
          <w:szCs w:val="23"/>
        </w:rPr>
        <w:t>эквайринга</w:t>
      </w:r>
      <w:proofErr w:type="spellEnd"/>
      <w:r w:rsidRPr="00CD018D">
        <w:rPr>
          <w:b/>
          <w:bCs/>
          <w:sz w:val="23"/>
          <w:szCs w:val="23"/>
        </w:rPr>
        <w:t xml:space="preserve">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3.1 Плательщику необходимо на WEB-сайте Общества или Личном кабинете выбрать раздел «</w:t>
      </w:r>
      <w:r w:rsidR="00CD018D">
        <w:rPr>
          <w:sz w:val="23"/>
          <w:szCs w:val="23"/>
        </w:rPr>
        <w:t>П</w:t>
      </w:r>
      <w:r w:rsidR="008C0C1A">
        <w:rPr>
          <w:sz w:val="23"/>
          <w:szCs w:val="23"/>
        </w:rPr>
        <w:t>латежи</w:t>
      </w:r>
      <w:r w:rsidRPr="00CD018D">
        <w:rPr>
          <w:sz w:val="23"/>
          <w:szCs w:val="23"/>
        </w:rPr>
        <w:t>»</w:t>
      </w:r>
      <w:r w:rsidR="00CD018D">
        <w:rPr>
          <w:sz w:val="23"/>
          <w:szCs w:val="23"/>
        </w:rPr>
        <w:t>, подраздел «Пополнение счета»</w:t>
      </w:r>
      <w:r w:rsidRPr="00CD018D">
        <w:rPr>
          <w:sz w:val="23"/>
          <w:szCs w:val="23"/>
        </w:rPr>
        <w:t xml:space="preserve">.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3.2 </w:t>
      </w:r>
      <w:r w:rsidR="00544A6D">
        <w:rPr>
          <w:sz w:val="23"/>
          <w:szCs w:val="23"/>
        </w:rPr>
        <w:t>На 1 этапе Плательщику предлагается ввести сумму платежа, которая должна составлять не менее 1 руб. и не более 30 000 руб</w:t>
      </w:r>
      <w:r w:rsidR="00544A6D" w:rsidRPr="008C0C1A">
        <w:rPr>
          <w:sz w:val="23"/>
          <w:szCs w:val="23"/>
        </w:rPr>
        <w:t>.</w:t>
      </w:r>
      <w:r w:rsidR="00544A6D">
        <w:rPr>
          <w:sz w:val="23"/>
          <w:szCs w:val="23"/>
        </w:rPr>
        <w:t xml:space="preserve"> После ввода суммы платежа необходимо нажать кнопку «Оплатить».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81125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3.3 На 2 этапе Плательщику предлагается ввести реквизиты Банковской карты</w:t>
      </w:r>
      <w:r w:rsidR="008C0C1A">
        <w:rPr>
          <w:sz w:val="23"/>
          <w:szCs w:val="23"/>
        </w:rPr>
        <w:t xml:space="preserve"> и </w:t>
      </w:r>
      <w:r w:rsidR="008C0C1A">
        <w:rPr>
          <w:sz w:val="23"/>
          <w:szCs w:val="23"/>
          <w:lang w:val="en-US"/>
        </w:rPr>
        <w:t>e</w:t>
      </w:r>
      <w:r w:rsidR="008C0C1A" w:rsidRPr="008C0C1A">
        <w:rPr>
          <w:sz w:val="23"/>
          <w:szCs w:val="23"/>
        </w:rPr>
        <w:t>-</w:t>
      </w:r>
      <w:r w:rsidR="008C0C1A">
        <w:rPr>
          <w:sz w:val="23"/>
          <w:szCs w:val="23"/>
          <w:lang w:val="en-US"/>
        </w:rPr>
        <w:t>mail</w:t>
      </w:r>
      <w:r w:rsidR="008C0C1A">
        <w:rPr>
          <w:sz w:val="23"/>
          <w:szCs w:val="23"/>
        </w:rPr>
        <w:t xml:space="preserve"> для отправки электронного чека</w:t>
      </w:r>
      <w:r w:rsidRPr="00CD018D">
        <w:rPr>
          <w:sz w:val="23"/>
          <w:szCs w:val="23"/>
        </w:rPr>
        <w:t xml:space="preserve">. На данном этапе Плательщик переходит на специальную страницу оплаты, в которой загружается форма ввода реквизитов с сайта </w:t>
      </w:r>
      <w:proofErr w:type="spellStart"/>
      <w:r w:rsidRPr="00CD018D">
        <w:rPr>
          <w:sz w:val="23"/>
          <w:szCs w:val="23"/>
        </w:rPr>
        <w:t>аппаратнопрограммного</w:t>
      </w:r>
      <w:proofErr w:type="spellEnd"/>
      <w:r w:rsidRPr="00CD018D">
        <w:rPr>
          <w:sz w:val="23"/>
          <w:szCs w:val="23"/>
        </w:rPr>
        <w:t xml:space="preserve"> комплекса Банка- </w:t>
      </w:r>
      <w:proofErr w:type="spellStart"/>
      <w:r w:rsidRPr="00CD018D">
        <w:rPr>
          <w:sz w:val="23"/>
          <w:szCs w:val="23"/>
        </w:rPr>
        <w:t>эквайера</w:t>
      </w:r>
      <w:proofErr w:type="spellEnd"/>
      <w:r w:rsidRPr="00CD018D">
        <w:rPr>
          <w:sz w:val="23"/>
          <w:szCs w:val="23"/>
        </w:rPr>
        <w:t>, адап</w:t>
      </w:r>
      <w:r w:rsidR="008C0C1A">
        <w:rPr>
          <w:sz w:val="23"/>
          <w:szCs w:val="23"/>
        </w:rPr>
        <w:t xml:space="preserve">тированную под фирменный стиль </w:t>
      </w:r>
      <w:r w:rsidR="00F21341">
        <w:rPr>
          <w:sz w:val="23"/>
          <w:szCs w:val="23"/>
        </w:rPr>
        <w:t>ООО «</w:t>
      </w:r>
      <w:r w:rsidR="006C5951">
        <w:rPr>
          <w:sz w:val="23"/>
          <w:szCs w:val="23"/>
        </w:rPr>
        <w:t>СТ Л</w:t>
      </w:r>
      <w:r w:rsidR="00A127AC">
        <w:rPr>
          <w:sz w:val="23"/>
          <w:szCs w:val="23"/>
        </w:rPr>
        <w:t>ипецк</w:t>
      </w:r>
      <w:bookmarkStart w:id="0" w:name="_GoBack"/>
      <w:bookmarkEnd w:id="0"/>
      <w:r w:rsidR="00F21341" w:rsidRPr="00510DBC">
        <w:rPr>
          <w:sz w:val="23"/>
          <w:szCs w:val="23"/>
        </w:rPr>
        <w:t>»</w:t>
      </w:r>
      <w:r w:rsidRPr="00CD018D">
        <w:rPr>
          <w:sz w:val="23"/>
          <w:szCs w:val="23"/>
        </w:rPr>
        <w:t xml:space="preserve">. </w:t>
      </w:r>
    </w:p>
    <w:p w:rsidR="00AC7843" w:rsidRPr="00CD018D" w:rsidRDefault="00AC7843" w:rsidP="00CD018D">
      <w:pPr>
        <w:pStyle w:val="Default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3.4. Для заполнения формы Плательщик должен указать следующую информацию: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номер Банковской карты;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имя </w:t>
      </w:r>
      <w:r w:rsidR="00AC7843">
        <w:rPr>
          <w:sz w:val="23"/>
          <w:szCs w:val="23"/>
        </w:rPr>
        <w:t>держателя карты (латинскими буквами</w:t>
      </w:r>
      <w:r w:rsidRPr="00CD018D">
        <w:rPr>
          <w:sz w:val="23"/>
          <w:szCs w:val="23"/>
        </w:rPr>
        <w:t xml:space="preserve">, указано на карте);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дата окончания действия карты -месяц/год (указана на карте), выбирается из ниспадающего списка;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8C0C1A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• секретный код CVV2/CVC2 (указан на обратной стороне карты, в поле для образца подписи владе</w:t>
      </w:r>
      <w:r w:rsidR="008C0C1A">
        <w:rPr>
          <w:sz w:val="23"/>
          <w:szCs w:val="23"/>
        </w:rPr>
        <w:t>льца, сразу после номера карты);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 </w:t>
      </w:r>
    </w:p>
    <w:p w:rsidR="008C0C1A" w:rsidRPr="00A277CA" w:rsidRDefault="008C0C1A" w:rsidP="008C0C1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</w:t>
      </w:r>
      <w:r>
        <w:rPr>
          <w:sz w:val="23"/>
          <w:szCs w:val="23"/>
          <w:lang w:val="en-US"/>
        </w:rPr>
        <w:t>e</w:t>
      </w:r>
      <w:r w:rsidRPr="00A277CA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="00A277CA" w:rsidRPr="00A277CA">
        <w:rPr>
          <w:sz w:val="23"/>
          <w:szCs w:val="23"/>
        </w:rPr>
        <w:t xml:space="preserve"> </w:t>
      </w:r>
      <w:r w:rsidR="00A277CA">
        <w:rPr>
          <w:sz w:val="23"/>
          <w:szCs w:val="23"/>
        </w:rPr>
        <w:t>для отправки электронного чека.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Для подтверждения информации необходимо нажать кнопку «</w:t>
      </w:r>
      <w:r w:rsidR="001B43AD">
        <w:rPr>
          <w:sz w:val="23"/>
          <w:szCs w:val="23"/>
        </w:rPr>
        <w:t>Продолжить</w:t>
      </w:r>
      <w:r w:rsidRPr="00CD018D">
        <w:rPr>
          <w:sz w:val="23"/>
          <w:szCs w:val="23"/>
        </w:rPr>
        <w:t xml:space="preserve">».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После проведения оплаты, Плательщику выводится страница с результатом операции, которая выводит информацию об успешности прохождения платежа, о суммах и идентификаторах абонента</w:t>
      </w:r>
      <w:r w:rsidR="00CD018D">
        <w:rPr>
          <w:sz w:val="23"/>
          <w:szCs w:val="23"/>
        </w:rPr>
        <w:t xml:space="preserve"> </w:t>
      </w:r>
      <w:proofErr w:type="gramStart"/>
      <w:r w:rsidR="00CD018D" w:rsidRPr="00CD018D">
        <w:rPr>
          <w:sz w:val="23"/>
          <w:szCs w:val="23"/>
        </w:rPr>
        <w:t>( номер</w:t>
      </w:r>
      <w:proofErr w:type="gramEnd"/>
      <w:r w:rsidR="00CD018D" w:rsidRPr="00CD018D">
        <w:rPr>
          <w:sz w:val="23"/>
          <w:szCs w:val="23"/>
        </w:rPr>
        <w:t xml:space="preserve"> ЛС / абонентский номер / логин услуги и </w:t>
      </w:r>
      <w:proofErr w:type="spellStart"/>
      <w:r w:rsidR="00CD018D" w:rsidRPr="00CD018D">
        <w:rPr>
          <w:sz w:val="23"/>
          <w:szCs w:val="23"/>
        </w:rPr>
        <w:t>т.п</w:t>
      </w:r>
      <w:proofErr w:type="spellEnd"/>
      <w:r w:rsidR="00CD018D" w:rsidRPr="00CD018D">
        <w:rPr>
          <w:sz w:val="23"/>
          <w:szCs w:val="23"/>
        </w:rPr>
        <w:t>)</w:t>
      </w:r>
      <w:r w:rsidRPr="00CD018D">
        <w:rPr>
          <w:sz w:val="23"/>
          <w:szCs w:val="23"/>
        </w:rPr>
        <w:t>, на которые будут зачислены средства. Денежные средства зачисляются в режиме реального времени.</w:t>
      </w:r>
      <w:r>
        <w:rPr>
          <w:sz w:val="23"/>
          <w:szCs w:val="23"/>
        </w:rPr>
        <w:t xml:space="preserve">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возврата средств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4.1. Так как Общество, фактически, не осуществляет переводов денежных средств и не оказывает каких-либо банковских услуг, то всю ответственность за правильность осуществления перевода несут, исключительно, Банк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 </w:t>
      </w: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 все претензии по возврату средств, переведенных в рамках Интернет-</w:t>
      </w:r>
      <w:proofErr w:type="spellStart"/>
      <w:r>
        <w:rPr>
          <w:sz w:val="23"/>
          <w:szCs w:val="23"/>
        </w:rPr>
        <w:t>Эквайринга</w:t>
      </w:r>
      <w:proofErr w:type="spellEnd"/>
      <w:r>
        <w:rPr>
          <w:sz w:val="23"/>
          <w:szCs w:val="23"/>
        </w:rPr>
        <w:t>, разрешаются непосредственно между Банком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4.2. Порядок, сроки возврата денежных средств и перечень необходимых документов устанавливаются Банком-эмитентом.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4.3. Возврат осуществляется исключительно на Банковскую карту, с которой был осуществлен платеж.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Ответственность Сторон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5.1. Стороны несут ответственность за неисполнение или ненадлежащее исполнение условий Соглашения в соответствии с действующим законодательством Российской Федерации.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Общество не несет ответственности перед Плательщиком за задержки и перебои в работе технических платформ и транспортных сетей или сетей связи, в возникновении которых нет вины Оператора.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5.3. Плательщик несет ответственность за любые действия третьих лиц, совершенных от имени Плательщика посредством использования Банковской карты Плательщика при осуществлении платежа.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5.4. Абонент, предоставляя третьему лицу – Плательщику Идентификатор абонента тем самым соглашается со всеми платежами, внесенными данным Плательщиком за Услуги связи, оказываемые Обществом так и другими операторами связи и обязуется самостоятельно урегулировать все споры, возникающие из таких платежей.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5.5. Ответственность Банка-эмитента и Банка-</w:t>
      </w:r>
      <w:proofErr w:type="spellStart"/>
      <w:r>
        <w:rPr>
          <w:sz w:val="23"/>
          <w:szCs w:val="23"/>
        </w:rPr>
        <w:t>эквайера</w:t>
      </w:r>
      <w:proofErr w:type="spellEnd"/>
      <w:r>
        <w:rPr>
          <w:sz w:val="23"/>
          <w:szCs w:val="23"/>
        </w:rPr>
        <w:t xml:space="preserve"> за сохранность предоставленных Плательщиком сведений о Банковской карте при пользовании Интернет-</w:t>
      </w:r>
      <w:proofErr w:type="spellStart"/>
      <w:r>
        <w:rPr>
          <w:sz w:val="23"/>
          <w:szCs w:val="23"/>
        </w:rPr>
        <w:t>эквайрингом</w:t>
      </w:r>
      <w:proofErr w:type="spellEnd"/>
      <w:r>
        <w:rPr>
          <w:sz w:val="23"/>
          <w:szCs w:val="23"/>
        </w:rPr>
        <w:t xml:space="preserve"> устанавливается действующим законодательством Российской Федерации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5.6. Плательщик самостоятельно несет ответственность за правильность указания номера Банковской карты, даты истечения срока ее действия, суммы денежных средств, подлежащих переводу.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Обстоятельства непреодолимой силы.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CD018D" w:rsidRDefault="00510DBC" w:rsidP="00CD018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Сторона не могла ни предвидеть, ни предотвратить разумными мерами, а именно: стихийных бедствий, пожаров, землетрясений постановлений правительства России и местных органов власти и т.д.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Срок действия Соглашения.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</w:pPr>
      <w:r>
        <w:rPr>
          <w:sz w:val="23"/>
          <w:szCs w:val="23"/>
        </w:rPr>
        <w:t>Соглашение вступает в силу с момента выполнения Плательщиком действий, предусмотренных разделом 3 Соглашения, и действует до исполнения Обществом обязательств по Соглашению.</w:t>
      </w:r>
    </w:p>
    <w:sectPr w:rsidR="005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B34BBF"/>
    <w:multiLevelType w:val="hybridMultilevel"/>
    <w:tmpl w:val="D3E46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4C40B3"/>
    <w:multiLevelType w:val="hybridMultilevel"/>
    <w:tmpl w:val="5B357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18692E"/>
    <w:multiLevelType w:val="hybridMultilevel"/>
    <w:tmpl w:val="7CCB1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9CB8E3"/>
    <w:multiLevelType w:val="hybridMultilevel"/>
    <w:tmpl w:val="CF763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FA4BA9"/>
    <w:multiLevelType w:val="hybridMultilevel"/>
    <w:tmpl w:val="E119C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9AC317"/>
    <w:multiLevelType w:val="hybridMultilevel"/>
    <w:tmpl w:val="1F017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A42DBE"/>
    <w:multiLevelType w:val="hybridMultilevel"/>
    <w:tmpl w:val="40AAF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3BE7C2"/>
    <w:multiLevelType w:val="hybridMultilevel"/>
    <w:tmpl w:val="94ADD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3728DE"/>
    <w:multiLevelType w:val="hybridMultilevel"/>
    <w:tmpl w:val="A77AD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7AF23B"/>
    <w:multiLevelType w:val="hybridMultilevel"/>
    <w:tmpl w:val="80B34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154702"/>
    <w:multiLevelType w:val="hybridMultilevel"/>
    <w:tmpl w:val="A1299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B3BAD29"/>
    <w:multiLevelType w:val="hybridMultilevel"/>
    <w:tmpl w:val="02E9E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D0F2F6"/>
    <w:multiLevelType w:val="hybridMultilevel"/>
    <w:tmpl w:val="52762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41C283"/>
    <w:multiLevelType w:val="hybridMultilevel"/>
    <w:tmpl w:val="72E70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2C3DA0C"/>
    <w:multiLevelType w:val="hybridMultilevel"/>
    <w:tmpl w:val="77692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6AB5DD"/>
    <w:multiLevelType w:val="hybridMultilevel"/>
    <w:tmpl w:val="BEB1D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E63A67"/>
    <w:multiLevelType w:val="hybridMultilevel"/>
    <w:tmpl w:val="6E290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B3D31C4"/>
    <w:multiLevelType w:val="hybridMultilevel"/>
    <w:tmpl w:val="45579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CEEC15"/>
    <w:multiLevelType w:val="hybridMultilevel"/>
    <w:tmpl w:val="14B0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14E549"/>
    <w:multiLevelType w:val="hybridMultilevel"/>
    <w:tmpl w:val="9FE49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585199"/>
    <w:multiLevelType w:val="hybridMultilevel"/>
    <w:tmpl w:val="1DA8E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607BDC"/>
    <w:multiLevelType w:val="hybridMultilevel"/>
    <w:tmpl w:val="DEA5A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5748279"/>
    <w:multiLevelType w:val="hybridMultilevel"/>
    <w:tmpl w:val="C31E2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0BB15"/>
    <w:multiLevelType w:val="hybridMultilevel"/>
    <w:tmpl w:val="305C9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88EF46E"/>
    <w:multiLevelType w:val="hybridMultilevel"/>
    <w:tmpl w:val="D0738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F85E7C"/>
    <w:multiLevelType w:val="hybridMultilevel"/>
    <w:tmpl w:val="382BC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CC0147"/>
    <w:multiLevelType w:val="hybridMultilevel"/>
    <w:tmpl w:val="08B3B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24"/>
  </w:num>
  <w:num w:numId="6">
    <w:abstractNumId w:val="14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19"/>
  </w:num>
  <w:num w:numId="16">
    <w:abstractNumId w:val="18"/>
  </w:num>
  <w:num w:numId="17">
    <w:abstractNumId w:val="25"/>
  </w:num>
  <w:num w:numId="18">
    <w:abstractNumId w:val="13"/>
  </w:num>
  <w:num w:numId="19">
    <w:abstractNumId w:val="5"/>
  </w:num>
  <w:num w:numId="20">
    <w:abstractNumId w:val="2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C"/>
    <w:rsid w:val="00051DD5"/>
    <w:rsid w:val="001B43AD"/>
    <w:rsid w:val="00401D07"/>
    <w:rsid w:val="00404667"/>
    <w:rsid w:val="00510DBC"/>
    <w:rsid w:val="00544A6D"/>
    <w:rsid w:val="006C5951"/>
    <w:rsid w:val="0081125A"/>
    <w:rsid w:val="008C0C1A"/>
    <w:rsid w:val="00A127AC"/>
    <w:rsid w:val="00A277CA"/>
    <w:rsid w:val="00AC7843"/>
    <w:rsid w:val="00CD018D"/>
    <w:rsid w:val="00D20482"/>
    <w:rsid w:val="00F21341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356E-EC4F-4CDC-B705-AC8A475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Трошенкова Виктория Игоревна</dc:creator>
  <cp:lastModifiedBy>Бондарь Михаил Владимирович</cp:lastModifiedBy>
  <cp:revision>3</cp:revision>
  <cp:lastPrinted>2015-03-24T10:03:00Z</cp:lastPrinted>
  <dcterms:created xsi:type="dcterms:W3CDTF">2017-11-21T08:58:00Z</dcterms:created>
  <dcterms:modified xsi:type="dcterms:W3CDTF">2017-11-21T09:02:00Z</dcterms:modified>
</cp:coreProperties>
</file>